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dxa"/>
        <w:tblInd w:w="-1026" w:type="dxa"/>
        <w:tblBorders>
          <w:bottom w:val="single" w:color="000000" w:sz="4" w:space="0"/>
        </w:tblBorders>
        <w:tblLook w:val="04A0" w:firstRow="1" w:lastRow="0" w:firstColumn="1" w:lastColumn="0" w:noHBand="0" w:noVBand="1"/>
      </w:tblPr>
      <w:tblGrid>
        <w:gridCol w:w="1065"/>
        <w:gridCol w:w="9532"/>
      </w:tblGrid>
      <w:tr>
        <w:tblPrEx/>
        <w:trPr>
          <w:tblCellSpacing w:w="0" w:type="dxa"/>
        </w:trPr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6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4677" w:leader="none"/>
                <w:tab w:val="left" w:pos="935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9532" w:type="dxa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auto"/>
              <w:tabs>
                <w:tab w:val="left" w:pos="4677" w:leader="none"/>
                <w:tab w:val="left" w:pos="935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БЮДЖЕТНОЕ ПРОФЕССИОНАЛЬНОЕ ОБРАЗОВАТЕЛЬНОЕ УЧРЕЖДЕНИЕ  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4677" w:leader="none"/>
                <w:tab w:val="left" w:pos="935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831"/>
        <w:jc w:val="center"/>
        <w:spacing w:before="0" w:beforeAutospacing="0" w:after="0" w:afterAutospacing="0"/>
      </w:pPr>
      <w:r>
        <w:rPr>
          <w:b/>
          <w:bCs/>
          <w:color w:val="000000"/>
          <w:sz w:val="28"/>
          <w:szCs w:val="28"/>
        </w:rPr>
        <w:t xml:space="preserve">Рабочая программа дисциплины</w:t>
      </w:r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ОП.03 Технические измерения, допуски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1"/>
        <w:jc w:val="center"/>
        <w:spacing w:before="0" w:beforeAutospacing="0" w:after="200" w:afterAutospacing="0"/>
      </w:pPr>
      <w:r>
        <w:rPr>
          <w:color w:val="000000"/>
        </w:rPr>
        <w:t xml:space="preserve">15.01.38 Оператор-наладчик металлообрабатывающих станков</w:t>
      </w:r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2025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0" w:name="_Toc156825287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СОДЕРЖАНИЕ ПРОГРАММЫ</w:t>
      </w:r>
      <w:bookmarkEnd w:id="0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before="120" w:after="0" w:line="271" w:lineRule="auto"/>
        <w:tabs>
          <w:tab w:val="left" w:pos="96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56825287" w:anchor="_Toc156825287" w:history="1">
        <w:r>
          <w:rPr>
            <w:rFonts w:ascii="Times New Roman" w:hAnsi="Times New Roman" w:eastAsia="Times New Roman" w:cs="Times New Roman"/>
            <w:b/>
            <w:bCs/>
            <w:color w:val="000000"/>
            <w:u w:val="single"/>
            <w:lang w:eastAsia="ru-RU"/>
          </w:rPr>
          <w:t xml:space="preserve">СОДЕРЖАНИЕ ПРОГРАММЫ</w:t>
        </w:r>
        <w:r>
          <w:rPr>
            <w:rFonts w:ascii="Times New Roman" w:hAnsi="Times New Roman" w:eastAsia="Times New Roman" w:cs="Times New Roman"/>
            <w:b/>
            <w:bCs/>
            <w:color w:val="000000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before="120" w:after="0" w:line="271" w:lineRule="auto"/>
        <w:tabs>
          <w:tab w:val="left" w:pos="96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56825288" w:anchor="_Toc156825288" w:history="1">
        <w:r>
          <w:rPr>
            <w:rFonts w:ascii="Times New Roman" w:hAnsi="Times New Roman" w:eastAsia="Times New Roman" w:cs="Times New Roman"/>
            <w:b/>
            <w:bCs/>
            <w:color w:val="000000"/>
            <w:u w:val="single"/>
            <w:lang w:eastAsia="ru-RU"/>
          </w:rPr>
          <w:t xml:space="preserve">1. Общая характеристика</w:t>
        </w:r>
        <w:r>
          <w:rPr>
            <w:rFonts w:ascii="Times New Roman" w:hAnsi="Times New Roman" w:eastAsia="Times New Roman" w:cs="Times New Roman"/>
            <w:b/>
            <w:bCs/>
            <w:color w:val="000000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56825289" w:anchor="_Toc156825289" w:history="1">
        <w:r>
          <w:rPr>
            <w:rFonts w:ascii="Times New Roman" w:hAnsi="Times New Roman" w:eastAsia="Times New Roman" w:cs="Times New Roman"/>
            <w:color w:val="000000"/>
            <w:sz w:val="24"/>
            <w:szCs w:val="24"/>
            <w:u w:val="single"/>
            <w:lang w:eastAsia="ru-RU"/>
          </w:rPr>
          <w:t xml:space="preserve">1.1. Цель и место дисциплины в структуре образовательной программы</w:t>
        </w:r>
        <w:r>
          <w:rPr>
            <w:rFonts w:ascii="Times New Roman" w:hAnsi="Times New Roman" w:eastAsia="Times New Roman" w:cs="Times New Roman"/>
            <w:color w:val="000000"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56825290" w:anchor="_Toc156825290" w:history="1">
        <w:r>
          <w:rPr>
            <w:rFonts w:ascii="Times New Roman" w:hAnsi="Times New Roman" w:eastAsia="Times New Roman" w:cs="Times New Roman"/>
            <w:color w:val="000000"/>
            <w:sz w:val="24"/>
            <w:szCs w:val="24"/>
            <w:u w:val="single"/>
            <w:lang w:eastAsia="ru-RU"/>
          </w:rPr>
          <w:t xml:space="preserve">1.2. Планируемые результаты освоения дисциплины</w:t>
        </w:r>
        <w:r>
          <w:rPr>
            <w:rFonts w:ascii="Times New Roman" w:hAnsi="Times New Roman" w:eastAsia="Times New Roman" w:cs="Times New Roman"/>
            <w:color w:val="000000"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before="120" w:after="0" w:line="271" w:lineRule="auto"/>
        <w:tabs>
          <w:tab w:val="left" w:pos="96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56825291" w:anchor="_Toc156825291" w:history="1">
        <w:r>
          <w:rPr>
            <w:rFonts w:ascii="Times New Roman" w:hAnsi="Times New Roman" w:eastAsia="Times New Roman" w:cs="Times New Roman"/>
            <w:b/>
            <w:bCs/>
            <w:color w:val="000000"/>
            <w:u w:val="single"/>
            <w:lang w:eastAsia="ru-RU"/>
          </w:rPr>
          <w:t xml:space="preserve">2. Структура и содержание ДИСЦИПЛИНЫ</w:t>
        </w:r>
        <w:r>
          <w:rPr>
            <w:rFonts w:ascii="Times New Roman" w:hAnsi="Times New Roman" w:eastAsia="Times New Roman" w:cs="Times New Roman"/>
            <w:b/>
            <w:bCs/>
            <w:color w:val="000000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56825292" w:anchor="_Toc156825292" w:history="1">
        <w:r>
          <w:rPr>
            <w:rFonts w:ascii="Times New Roman" w:hAnsi="Times New Roman" w:eastAsia="Times New Roman" w:cs="Times New Roman"/>
            <w:color w:val="000000"/>
            <w:sz w:val="24"/>
            <w:szCs w:val="24"/>
            <w:u w:val="single"/>
            <w:lang w:eastAsia="ru-RU"/>
          </w:rPr>
          <w:t xml:space="preserve">2.1. Трудоемкость освоения дисциплины</w:t>
        </w:r>
        <w:r>
          <w:rPr>
            <w:rFonts w:ascii="Times New Roman" w:hAnsi="Times New Roman" w:eastAsia="Times New Roman" w:cs="Times New Roman"/>
            <w:color w:val="000000"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56825293" w:anchor="_Toc156825293" w:history="1">
        <w:r>
          <w:rPr>
            <w:rFonts w:ascii="Times New Roman" w:hAnsi="Times New Roman" w:eastAsia="Times New Roman" w:cs="Times New Roman"/>
            <w:color w:val="000000"/>
            <w:sz w:val="24"/>
            <w:szCs w:val="24"/>
            <w:u w:val="single"/>
            <w:lang w:eastAsia="ru-RU"/>
          </w:rPr>
          <w:t xml:space="preserve">2.2. Содержание дисцип</w:t>
        </w:r>
        <w:r>
          <w:rPr>
            <w:rFonts w:ascii="Times New Roman" w:hAnsi="Times New Roman" w:eastAsia="Times New Roman" w:cs="Times New Roman"/>
            <w:color w:val="000000"/>
            <w:sz w:val="24"/>
            <w:szCs w:val="24"/>
            <w:u w:val="single"/>
            <w:lang w:eastAsia="ru-RU"/>
          </w:rPr>
          <w:t xml:space="preserve">лины</w:t>
        </w:r>
        <w:r>
          <w:rPr>
            <w:rFonts w:ascii="Times New Roman" w:hAnsi="Times New Roman" w:eastAsia="Times New Roman" w:cs="Times New Roman"/>
            <w:color w:val="000000"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before="120" w:after="0" w:line="271" w:lineRule="auto"/>
        <w:tabs>
          <w:tab w:val="left" w:pos="96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56825296" w:anchor="_Toc156825296" w:history="1">
        <w:r>
          <w:rPr>
            <w:rFonts w:ascii="Times New Roman" w:hAnsi="Times New Roman" w:eastAsia="Times New Roman" w:cs="Times New Roman"/>
            <w:b/>
            <w:bCs/>
            <w:color w:val="000000"/>
            <w:u w:val="single"/>
            <w:lang w:eastAsia="ru-RU"/>
          </w:rPr>
          <w:t xml:space="preserve">3. Условия реализации ДИСЦИПЛИНЫ</w:t>
        </w:r>
        <w:r>
          <w:rPr>
            <w:rFonts w:ascii="Times New Roman" w:hAnsi="Times New Roman" w:eastAsia="Times New Roman" w:cs="Times New Roman"/>
            <w:b/>
            <w:bCs/>
            <w:color w:val="000000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56825297" w:anchor="_Toc156825297" w:history="1">
        <w:r>
          <w:rPr>
            <w:rFonts w:ascii="Times New Roman" w:hAnsi="Times New Roman" w:eastAsia="Times New Roman" w:cs="Times New Roman"/>
            <w:color w:val="000000"/>
            <w:sz w:val="24"/>
            <w:szCs w:val="24"/>
            <w:u w:val="single"/>
            <w:lang w:eastAsia="ru-RU"/>
          </w:rPr>
          <w:t xml:space="preserve">3.1. Материально-техническ</w:t>
        </w:r>
        <w:r>
          <w:rPr>
            <w:rFonts w:ascii="Times New Roman" w:hAnsi="Times New Roman" w:eastAsia="Times New Roman" w:cs="Times New Roman"/>
            <w:color w:val="000000"/>
            <w:sz w:val="24"/>
            <w:szCs w:val="24"/>
            <w:u w:val="single"/>
            <w:lang w:eastAsia="ru-RU"/>
          </w:rPr>
          <w:t xml:space="preserve">ое обеспечение</w:t>
        </w:r>
        <w:r>
          <w:rPr>
            <w:rFonts w:ascii="Times New Roman" w:hAnsi="Times New Roman" w:eastAsia="Times New Roman" w:cs="Times New Roman"/>
            <w:color w:val="000000"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56825298" w:anchor="_Toc156825298" w:history="1">
        <w:r>
          <w:rPr>
            <w:rFonts w:ascii="Times New Roman" w:hAnsi="Times New Roman" w:eastAsia="Times New Roman" w:cs="Times New Roman"/>
            <w:color w:val="000000"/>
            <w:sz w:val="24"/>
            <w:szCs w:val="24"/>
            <w:u w:val="single"/>
            <w:lang w:eastAsia="ru-RU"/>
          </w:rPr>
          <w:t xml:space="preserve">3.2. Учебно-методическое обеспечение</w:t>
        </w:r>
        <w:r>
          <w:rPr>
            <w:rFonts w:ascii="Times New Roman" w:hAnsi="Times New Roman" w:eastAsia="Times New Roman" w:cs="Times New Roman"/>
            <w:color w:val="000000"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56825299" w:anchor="_Toc156825299" w:history="1">
        <w:r>
          <w:rPr>
            <w:rFonts w:ascii="Times New Roman" w:hAnsi="Times New Roman" w:eastAsia="Times New Roman" w:cs="Times New Roman"/>
            <w:b/>
            <w:bCs/>
            <w:color w:val="000000"/>
            <w:u w:val="single"/>
            <w:lang w:eastAsia="ru-RU"/>
          </w:rPr>
          <w:t xml:space="preserve">4. Контроль и оценка результатов  освоения ДИСЦИПЛИНЫ</w:t>
        </w:r>
        <w:r>
          <w:rPr>
            <w:rFonts w:ascii="Times New Roman" w:hAnsi="Times New Roman" w:eastAsia="Times New Roman" w:cs="Times New Roman"/>
            <w:b/>
            <w:bCs/>
            <w:color w:val="000000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31"/>
        <w:jc w:val="center"/>
        <w:keepNext/>
        <w:spacing w:before="0" w:beforeAutospacing="0" w:after="120" w:afterAutospacing="0"/>
      </w:pPr>
      <w:r/>
      <w:bookmarkStart w:id="1" w:name="_Toc156294566"/>
      <w:r/>
      <w:bookmarkStart w:id="2" w:name="_Toc156825288"/>
      <w:r/>
      <w:bookmarkEnd w:id="1"/>
      <w:r>
        <w:rPr>
          <w:b/>
          <w:bCs/>
          <w:color w:val="000000"/>
        </w:rPr>
        <w:t xml:space="preserve">1.</w:t>
      </w:r>
      <w:bookmarkEnd w:id="2"/>
      <w:r>
        <w:rPr>
          <w:b/>
          <w:bCs/>
          <w:color w:val="000000"/>
        </w:rPr>
        <w:t xml:space="preserve">ОБЩАЯ ХАРАКТЕРИСТИКА РАБОЧЕЙ ПРОГРАММЫ УЧЕБНОЙ ДИСЦИПЛИНЫ</w:t>
      </w:r>
      <w:r/>
    </w:p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ОП.03 Технические измерения, допуски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1.1. Цель и место дисциплины в структуре образовательной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Цель дисциплины «ОП 03. Технические измерения, допуски»: формирование теоретических знаний и 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рактических навыков по анализу чертежей и технической документации, выполнению расчетов величин размеров и допуска и др.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br/>
        <w:t xml:space="preserve"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ab/>
        <w:t xml:space="preserve">Дисциплина «ОП.03 Технические измерения, допуски» включена в обязательную часть общепрофессионального цикла образовательной программы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1.2. Планируемые результаты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ПОП-П).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обучающийся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должен: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textWrapping" w:clear="all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687"/>
        <w:gridCol w:w="3669"/>
        <w:gridCol w:w="4235"/>
      </w:tblGrid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 анализировать чертежи, техническую документацию;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 определять предельные отклонения размеров;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 выполнять расчеты величин предельных размеров и допуска по данным чертежа и определять годность заданных размеров;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 применять контрольно-измерительные приборы и инструменты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 основы стандартизации, взаимозаменяемости, качества продукции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систему допусков и посадок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 параметры шероховатости;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основные сведения о сопряжениях в машиностроении;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устройство, назначение, правила настройки контрольно-измерительных инструментов;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методы и средства контроля обработанных поверхностей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1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дисциплины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4A0" w:firstRow="1" w:lastRow="0" w:firstColumn="1" w:lastColumn="0" w:noHBand="0" w:noVBand="1"/>
      </w:tblPr>
      <w:tblGrid>
        <w:gridCol w:w="3384"/>
        <w:gridCol w:w="3118"/>
        <w:gridCol w:w="2977"/>
      </w:tblGrid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84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подготовки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84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Учебные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84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Курсовой проект (работа)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84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84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84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b/>
          <w:bCs/>
          <w:color w:val="000000"/>
        </w:rPr>
      </w:pPr>
      <w:r>
        <w:rPr>
          <w:rStyle w:val="836"/>
          <w:rFonts w:ascii="Times New Roman" w:hAnsi="Times New Roman" w:cs="Times New Roman"/>
          <w:b/>
          <w:bCs/>
          <w:color w:val="000000"/>
        </w:rPr>
        <w:t xml:space="preserve">2.2. Содержание </w:t>
      </w:r>
      <w:r>
        <w:rPr>
          <w:rFonts w:ascii="Times New Roman" w:hAnsi="Times New Roman" w:cs="Times New Roman"/>
          <w:b/>
          <w:bCs/>
          <w:color w:val="000000"/>
        </w:rPr>
        <w:t xml:space="preserve">дисциплины</w:t>
      </w:r>
      <w:r>
        <w:rPr>
          <w:rFonts w:ascii="Times New Roman" w:hAnsi="Times New Roman" w:cs="Times New Roman"/>
          <w:b/>
          <w:bCs/>
          <w:color w:val="000000"/>
        </w:rPr>
      </w:r>
    </w:p>
    <w:tbl>
      <w:tblPr>
        <w:tblW w:w="15007" w:type="dxa"/>
        <w:tblCellSpacing w:w="0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177"/>
        <w:gridCol w:w="51"/>
        <w:gridCol w:w="7385"/>
        <w:gridCol w:w="2126"/>
        <w:gridCol w:w="2268"/>
      </w:tblGrid>
      <w:tr>
        <w:tblPrEx/>
        <w:trPr>
          <w:tblCellSpacing w:w="0" w:type="dxa"/>
          <w:trHeight w:val="90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77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Наименование разделов и тем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6" w:type="dxa"/>
            <w:vAlign w:val="center"/>
            <w:textDirection w:val="lrTb"/>
            <w:noWrap w:val="false"/>
          </w:tcPr>
          <w:p>
            <w:pPr>
              <w:pStyle w:val="831"/>
              <w:jc w:val="center"/>
              <w:spacing w:before="0" w:beforeAutospacing="0" w:after="0" w:afterAutospacing="0"/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Содержание учебного материала, практических и лабораторных занятий</w:t>
            </w:r>
            <w:r/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31"/>
              <w:jc w:val="center"/>
              <w:spacing w:before="0" w:beforeAutospacing="0" w:after="0" w:afterAutospacing="0"/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Объем, 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ак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. ч. / </w:t>
            </w:r>
            <w:r>
              <w:rPr>
                <w:b/>
                <w:bCs/>
                <w:color w:val="000000"/>
                <w:sz w:val="22"/>
                <w:szCs w:val="22"/>
              </w:rPr>
              <w:br/>
              <w:t xml:space="preserve">  в том числе </w:t>
            </w:r>
            <w:r>
              <w:rPr>
                <w:b/>
                <w:bCs/>
                <w:color w:val="000000"/>
                <w:sz w:val="22"/>
                <w:szCs w:val="22"/>
              </w:rPr>
              <w:br/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  в форме практической подготовки, </w:t>
            </w:r>
            <w:r>
              <w:rPr>
                <w:b/>
                <w:bCs/>
                <w:color w:val="000000"/>
                <w:sz w:val="22"/>
                <w:szCs w:val="22"/>
              </w:rPr>
              <w:br/>
              <w:t xml:space="preserve">  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ак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. ч.</w:t>
            </w:r>
            <w:r/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831"/>
              <w:jc w:val="center"/>
              <w:spacing w:before="0" w:beforeAutospacing="0" w:after="0" w:afterAutospacing="0"/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Коды компетенций, формированию которых способствует элемент программы</w:t>
            </w:r>
            <w:r/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3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1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Раздел 1. Технические измерения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8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Тема 1.1. Основы стандартизации и взаимозаменяемости.  Качество продукции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5" w:type="dxa"/>
            <w:vAlign w:val="center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  <w:trHeight w:val="253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5" w:type="dxa"/>
            <w:vAlign w:val="center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Нормативно-правовая основа стандартизации. Документы в области стандартизации. Структуры и содержания стандартов ЕСКД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5" w:type="dxa"/>
            <w:vAlign w:val="center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Взаимозаменяемость и её виды. Функциональная взаимозаменяемость. Качество промышленной продукции. Управление качеством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  <w:trHeight w:val="73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5" w:type="dxa"/>
            <w:vAlign w:val="center"/>
            <w:textDirection w:val="lrTb"/>
            <w:noWrap w:val="false"/>
          </w:tcPr>
          <w:p>
            <w:pPr>
              <w:jc w:val="both"/>
              <w:keepLines/>
              <w:keepNext/>
              <w:spacing w:after="0" w:line="73" w:lineRule="atLeast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73" w:lineRule="atLeast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73" w:lineRule="atLeast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5" w:type="dxa"/>
            <w:vAlign w:val="center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Практическое занятие 1. Изучение структуры и содержания стандартов ЕСКД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8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Тема 1.2. Основные сведения о размерах и сопряжениях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5" w:type="dxa"/>
            <w:vAlign w:val="center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  <w:trHeight w:val="253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5" w:type="dxa"/>
            <w:vAlign w:val="center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Определение номинального размера, предельных отклонений, предельных размеров, допуска на размер. Графическое изображение поля допуска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5" w:type="dxa"/>
            <w:vAlign w:val="center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Определение годности действительных размеров, характера брака. Определение зазоров и натягов. Определение характера соединения деталей по выполненным расчетам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5" w:type="dxa"/>
            <w:vAlign w:val="center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Определение группы посадок по чертежам сопрягаемых деталей. Графическое изображение полей допусков сопрягаемых деталей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  <w:trHeight w:val="161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5" w:type="dxa"/>
            <w:vAlign w:val="center"/>
            <w:textDirection w:val="lrTb"/>
            <w:noWrap w:val="false"/>
          </w:tcPr>
          <w:p>
            <w:pPr>
              <w:jc w:val="both"/>
              <w:keepLines/>
              <w:keepNext/>
              <w:spacing w:after="0" w:line="161" w:lineRule="atLeast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161" w:lineRule="atLeast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161" w:lineRule="atLeast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5" w:type="dxa"/>
            <w:vAlign w:val="center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Практическое занятие 2. Единая система допусков и посадок (ЕСДП).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3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13" w:type="dxa"/>
            <w:vAlign w:val="center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Раздел 2. Допуски и посадки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8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Тема 2.1. Допуски формы и расположения поверхностей.  Шероховатость поверхности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5" w:type="dxa"/>
            <w:vAlign w:val="center"/>
            <w:textDirection w:val="lrTb"/>
            <w:noWrap w:val="false"/>
          </w:tcPr>
          <w:p>
            <w:pPr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5" w:type="dxa"/>
            <w:vAlign w:val="center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Допуски формы и расположения поверхностей. Определение точности формы детали. Технические требования формы деталей на чертежах. Допуски отклонения и измерения отклонений расположения поверхностей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5" w:type="dxa"/>
            <w:vAlign w:val="center"/>
            <w:textDirection w:val="lrTb"/>
            <w:noWrap w:val="false"/>
          </w:tcPr>
          <w:p>
            <w:pPr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5" w:type="dxa"/>
            <w:vAlign w:val="center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Практическое занятие 3. Волнистость и шероховатость поверхности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8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Тема 2.2. Основы технических измерений и средства измерений линейных размеров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   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5" w:type="dxa"/>
            <w:vAlign w:val="center"/>
            <w:textDirection w:val="lrTb"/>
            <w:noWrap w:val="false"/>
          </w:tcPr>
          <w:p>
            <w:pPr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5" w:type="dxa"/>
            <w:vAlign w:val="center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Метрология. Методы измерения. Погрешность измерения. Универсальные измерительные средства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5" w:type="dxa"/>
            <w:vAlign w:val="center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5" w:type="dxa"/>
            <w:vAlign w:val="center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Практическое занятие 4. Перевод единиц измерения в СИ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5" w:type="dxa"/>
            <w:vAlign w:val="center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Практическое занятие 5. Изучение устройства микрометрических измерительных средств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3228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Тема 2.3. Измерений углов и конусов. Контроль соединений и передач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5" w:type="dxa"/>
            <w:vAlign w:val="center"/>
            <w:textDirection w:val="lrTb"/>
            <w:noWrap w:val="false"/>
          </w:tcPr>
          <w:p>
            <w:pPr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  <w:trHeight w:val="253"/>
        </w:trPr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32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5" w:type="dxa"/>
            <w:vAlign w:val="center"/>
            <w:textDirection w:val="lrTb"/>
            <w:noWrap w:val="false"/>
          </w:tcPr>
          <w:p>
            <w:pPr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Измерение углов и конусов. Контроль соединений и передач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32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5" w:type="dxa"/>
            <w:vAlign w:val="center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Допуски углов и конусов. Преимущества  назначение конических соединений. Регламентирование угловых размеров.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  <w:trHeight w:val="1161"/>
        </w:trPr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32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7385" w:type="dxa"/>
            <w:vAlign w:val="center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Методы измерения углов и конусов. Обозначения гладких конусов на чертежах (ГОСТ 2.320-82)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Изучение устройства универсального угломера и  его технологических возможностей.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32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5" w:type="dxa"/>
            <w:vAlign w:val="center"/>
            <w:textDirection w:val="lrTb"/>
            <w:noWrap w:val="false"/>
          </w:tcPr>
          <w:p>
            <w:pPr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32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5" w:type="dxa"/>
            <w:vAlign w:val="center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Практическое занятие 6. Техника измерения универсальным угломером. Средства контроля и измерений резьбы. Техника измерений.  Набор резьбовых шаблонов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5" w:type="dxa"/>
            <w:vAlign w:val="center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r>
          </w:p>
          <w:p>
            <w:pPr>
              <w:jc w:val="both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Презентация по теме: Измерение углов и конусов. Контроль соединений и передач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3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13" w:type="dxa"/>
            <w:vAlign w:val="center"/>
            <w:textDirection w:val="lrTb"/>
            <w:noWrap w:val="false"/>
          </w:tcPr>
          <w:p>
            <w:pPr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3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13" w:type="dxa"/>
            <w:vAlign w:val="center"/>
            <w:textDirection w:val="lrTb"/>
            <w:noWrap w:val="false"/>
          </w:tcPr>
          <w:p>
            <w:pPr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Всего: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44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73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6838" w:h="11906" w:orient="landscape"/>
          <w:pgMar w:top="850" w:right="1134" w:bottom="1701" w:left="1134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1"/>
        <w:jc w:val="center"/>
        <w:keepNext/>
        <w:spacing w:before="0" w:beforeAutospacing="0" w:after="120" w:afterAutospacing="0"/>
      </w:pPr>
      <w:r>
        <w:rPr>
          <w:b/>
          <w:bCs/>
          <w:color w:val="000000"/>
        </w:rPr>
        <w:t xml:space="preserve">3. Условия реализации ДИСЦИПЛИНЫ</w:t>
      </w:r>
      <w:r/>
    </w:p>
    <w:p>
      <w:pPr>
        <w:pStyle w:val="830"/>
        <w:ind w:firstLine="709"/>
        <w:spacing w:before="0" w:beforeAutospacing="0" w:after="120" w:afterAutospacing="0" w:line="273" w:lineRule="auto"/>
      </w:pPr>
      <w:r>
        <w:rPr>
          <w:b/>
          <w:bCs/>
          <w:color w:val="000000"/>
        </w:rPr>
        <w:t xml:space="preserve">3.1. Материально-техническое обеспечение</w:t>
      </w:r>
      <w:r/>
    </w:p>
    <w:p>
      <w:pPr>
        <w:pStyle w:val="830"/>
        <w:ind w:firstLine="709"/>
        <w:jc w:val="both"/>
        <w:spacing w:before="0" w:beforeAutospacing="0" w:after="0" w:afterAutospacing="0" w:line="273" w:lineRule="auto"/>
      </w:pPr>
      <w:r>
        <w:rPr>
          <w:color w:val="000000"/>
        </w:rPr>
        <w:t xml:space="preserve">Лаборатория «Материаловедения и технических измерений», оснащенная в соответствии с приложением 3 ПОП-П. </w:t>
      </w:r>
      <w:r/>
    </w:p>
    <w:p>
      <w:pPr>
        <w:pStyle w:val="830"/>
        <w:spacing w:before="0" w:beforeAutospacing="0" w:after="0" w:afterAutospacing="0"/>
      </w:pPr>
      <w:r>
        <w:t xml:space="preserve"> </w:t>
      </w:r>
      <w:r/>
    </w:p>
    <w:p>
      <w:pPr>
        <w:pStyle w:val="830"/>
        <w:ind w:firstLine="709"/>
        <w:spacing w:before="0" w:beforeAutospacing="0" w:after="120" w:afterAutospacing="0" w:line="273" w:lineRule="auto"/>
      </w:pPr>
      <w:r>
        <w:rPr>
          <w:b/>
          <w:bCs/>
          <w:color w:val="000000"/>
        </w:rPr>
        <w:t xml:space="preserve">3.2. Учебно-методическое обеспечение</w:t>
      </w:r>
      <w:r>
        <w:t xml:space="preserve"> </w:t>
      </w:r>
      <w:r/>
    </w:p>
    <w:p>
      <w:pPr>
        <w:pStyle w:val="830"/>
        <w:ind w:firstLine="709"/>
        <w:jc w:val="both"/>
        <w:spacing w:before="0" w:beforeAutospacing="0" w:after="0" w:afterAutospacing="0" w:line="273" w:lineRule="auto"/>
      </w:pPr>
      <w:r>
        <w:rPr>
          <w:b/>
          <w:bCs/>
          <w:color w:val="000000"/>
        </w:rPr>
        <w:t xml:space="preserve">3.2.1. Основные печатные издания</w:t>
      </w:r>
      <w:r/>
    </w:p>
    <w:p>
      <w:pPr>
        <w:pStyle w:val="830"/>
        <w:ind w:firstLine="709"/>
        <w:jc w:val="both"/>
        <w:spacing w:before="0" w:beforeAutospacing="0" w:after="0" w:afterAutospacing="0" w:line="273" w:lineRule="auto"/>
      </w:pPr>
      <w:r>
        <w:rPr>
          <w:color w:val="000000"/>
        </w:rPr>
        <w:t xml:space="preserve">1. Зайцев С.А. Технические измерения: учебник для студ. учреждений </w:t>
      </w:r>
      <w:r>
        <w:rPr>
          <w:color w:val="000000"/>
        </w:rPr>
        <w:t xml:space="preserve">сред</w:t>
      </w:r>
      <w:r>
        <w:rPr>
          <w:color w:val="000000"/>
        </w:rPr>
        <w:t xml:space="preserve">.п</w:t>
      </w:r>
      <w:r>
        <w:rPr>
          <w:color w:val="000000"/>
        </w:rPr>
        <w:t xml:space="preserve">роф.образования</w:t>
      </w:r>
      <w:r>
        <w:rPr>
          <w:color w:val="000000"/>
        </w:rPr>
        <w:t xml:space="preserve"> /</w:t>
      </w:r>
      <w:r>
        <w:rPr>
          <w:color w:val="000000"/>
        </w:rPr>
        <w:t xml:space="preserve">С.А.Зайцев</w:t>
      </w:r>
      <w:r>
        <w:rPr>
          <w:color w:val="000000"/>
        </w:rPr>
        <w:t xml:space="preserve">, </w:t>
      </w:r>
      <w:r>
        <w:rPr>
          <w:color w:val="000000"/>
        </w:rPr>
        <w:t xml:space="preserve">А.Н.Толстов</w:t>
      </w:r>
      <w:r>
        <w:rPr>
          <w:color w:val="000000"/>
        </w:rPr>
        <w:t xml:space="preserve">. – 3-е </w:t>
      </w:r>
      <w:r>
        <w:rPr>
          <w:color w:val="000000"/>
        </w:rPr>
        <w:t xml:space="preserve">изд.испр</w:t>
      </w:r>
      <w:r>
        <w:rPr>
          <w:color w:val="000000"/>
        </w:rPr>
        <w:t xml:space="preserve">.-М.: Издательский центр Академия, 2019.-368с. (электронный вариант).</w:t>
      </w:r>
      <w:r/>
    </w:p>
    <w:p>
      <w:pPr>
        <w:pStyle w:val="830"/>
        <w:ind w:firstLine="709"/>
        <w:spacing w:before="0" w:beforeAutospacing="0" w:after="0" w:afterAutospacing="0" w:line="273" w:lineRule="auto"/>
      </w:pPr>
      <w:r>
        <w:t xml:space="preserve"> </w:t>
      </w:r>
      <w:r/>
    </w:p>
    <w:p>
      <w:pPr>
        <w:pStyle w:val="830"/>
        <w:ind w:firstLine="709"/>
        <w:spacing w:before="0" w:beforeAutospacing="0" w:after="0" w:afterAutospacing="0" w:line="273" w:lineRule="auto"/>
      </w:pPr>
      <w:r>
        <w:rPr>
          <w:b/>
          <w:bCs/>
          <w:color w:val="000000"/>
        </w:rPr>
        <w:t xml:space="preserve">3.2.2. Основные электронные издания </w:t>
      </w:r>
      <w:r/>
    </w:p>
    <w:p>
      <w:pPr>
        <w:pStyle w:val="830"/>
        <w:ind w:firstLine="709"/>
        <w:jc w:val="both"/>
        <w:spacing w:before="0" w:beforeAutospacing="0" w:after="0" w:afterAutospacing="0" w:line="273" w:lineRule="auto"/>
      </w:pPr>
      <w:r>
        <w:rPr>
          <w:color w:val="000000"/>
        </w:rPr>
        <w:t xml:space="preserve">1. Рачков, М. Ю.  Технические измерения и приборы</w:t>
      </w:r>
      <w:r>
        <w:rPr>
          <w:color w:val="000000"/>
        </w:rPr>
        <w:t xml:space="preserve"> :</w:t>
      </w:r>
      <w:r>
        <w:rPr>
          <w:color w:val="000000"/>
        </w:rPr>
        <w:t xml:space="preserve"> учебник и практикум для среднего профес</w:t>
      </w:r>
      <w:r>
        <w:rPr>
          <w:color w:val="000000"/>
        </w:rPr>
        <w:t xml:space="preserve">сионального образования / М. Ю. Рачков. — 3-е изд., </w:t>
      </w:r>
      <w:r>
        <w:rPr>
          <w:color w:val="000000"/>
        </w:rPr>
        <w:t xml:space="preserve">испр</w:t>
      </w:r>
      <w:r>
        <w:rPr>
          <w:color w:val="000000"/>
        </w:rPr>
        <w:t xml:space="preserve">. и доп. — Москва : Издательство </w:t>
      </w:r>
      <w:r>
        <w:rPr>
          <w:color w:val="000000"/>
        </w:rPr>
        <w:t xml:space="preserve">Юрайт</w:t>
      </w:r>
      <w:r>
        <w:rPr>
          <w:color w:val="000000"/>
        </w:rPr>
        <w:t xml:space="preserve">, 2023. — 151 с. — (Профессиональное образование). — ISBN 978-5-534-10718-0. — Текст</w:t>
      </w:r>
      <w:r>
        <w:rPr>
          <w:color w:val="000000"/>
        </w:rPr>
        <w:t xml:space="preserve"> :</w:t>
      </w:r>
      <w:r>
        <w:rPr>
          <w:color w:val="000000"/>
        </w:rPr>
        <w:t xml:space="preserve"> электронный // Образовательная платформа </w:t>
      </w:r>
      <w:r>
        <w:rPr>
          <w:color w:val="000000"/>
        </w:rPr>
        <w:t xml:space="preserve">Юрайт</w:t>
      </w:r>
      <w:r>
        <w:rPr>
          <w:color w:val="000000"/>
        </w:rPr>
        <w:t xml:space="preserve"> [сайт]. — URL: https://urait</w:t>
      </w:r>
      <w:r>
        <w:rPr>
          <w:color w:val="000000"/>
        </w:rPr>
        <w:t xml:space="preserve">.ru/bcode/517984 (дата обращения: 02.08.2023).</w:t>
      </w:r>
      <w:r/>
    </w:p>
    <w:p>
      <w:pPr>
        <w:pStyle w:val="830"/>
        <w:ind w:firstLine="709"/>
        <w:jc w:val="both"/>
        <w:spacing w:before="0" w:beforeAutospacing="0" w:after="0" w:afterAutospacing="0" w:line="273" w:lineRule="auto"/>
      </w:pPr>
      <w:r>
        <w:rPr>
          <w:color w:val="000000"/>
        </w:rPr>
        <w:t xml:space="preserve">2. </w:t>
      </w:r>
      <w:r>
        <w:rPr>
          <w:color w:val="000000"/>
        </w:rPr>
        <w:t xml:space="preserve">Шишмарёв</w:t>
      </w:r>
      <w:r>
        <w:rPr>
          <w:color w:val="000000"/>
        </w:rPr>
        <w:t xml:space="preserve">, В. Ю.  Технические измерения и приборы</w:t>
      </w:r>
      <w:r>
        <w:rPr>
          <w:color w:val="000000"/>
        </w:rPr>
        <w:t xml:space="preserve"> :</w:t>
      </w:r>
      <w:r>
        <w:rPr>
          <w:color w:val="000000"/>
        </w:rPr>
        <w:t xml:space="preserve"> учебник для среднего профессионального образования / В. Ю. </w:t>
      </w:r>
      <w:r>
        <w:rPr>
          <w:color w:val="000000"/>
        </w:rPr>
        <w:t xml:space="preserve">Шишмарёв</w:t>
      </w:r>
      <w:r>
        <w:rPr>
          <w:color w:val="000000"/>
        </w:rPr>
        <w:t xml:space="preserve">. — 3-е изд., </w:t>
      </w:r>
      <w:r>
        <w:rPr>
          <w:color w:val="000000"/>
        </w:rPr>
        <w:t xml:space="preserve">перераб</w:t>
      </w:r>
      <w:r>
        <w:rPr>
          <w:color w:val="000000"/>
        </w:rPr>
        <w:t xml:space="preserve">. и доп. — Москва : Издательство </w:t>
      </w:r>
      <w:r>
        <w:rPr>
          <w:color w:val="000000"/>
        </w:rPr>
        <w:t xml:space="preserve">Юрайт</w:t>
      </w:r>
      <w:r>
        <w:rPr>
          <w:color w:val="000000"/>
        </w:rPr>
        <w:t xml:space="preserve">, 2023. — 377 с. — (Профессио</w:t>
      </w:r>
      <w:r>
        <w:rPr>
          <w:color w:val="000000"/>
        </w:rPr>
        <w:t xml:space="preserve">нальное образование). — ISBN 978-5-534-11997-8. — Текст</w:t>
      </w:r>
      <w:r>
        <w:rPr>
          <w:color w:val="000000"/>
        </w:rPr>
        <w:t xml:space="preserve"> :</w:t>
      </w:r>
      <w:r>
        <w:rPr>
          <w:color w:val="000000"/>
        </w:rPr>
        <w:t xml:space="preserve"> электронный // Образовательная платформа </w:t>
      </w:r>
      <w:r>
        <w:rPr>
          <w:color w:val="000000"/>
        </w:rPr>
        <w:t xml:space="preserve">Юрайт</w:t>
      </w:r>
      <w:r>
        <w:rPr>
          <w:color w:val="000000"/>
        </w:rPr>
        <w:t xml:space="preserve"> [сайт]. — URL: https://urait.ru/bcode/517964 (дата обращения: 02.08.2023).</w:t>
      </w:r>
      <w:r/>
    </w:p>
    <w:p>
      <w:pPr>
        <w:pStyle w:val="830"/>
        <w:ind w:firstLine="709"/>
        <w:jc w:val="both"/>
        <w:spacing w:before="0" w:beforeAutospacing="0" w:after="0" w:afterAutospacing="0" w:line="273" w:lineRule="auto"/>
      </w:pPr>
      <w:r>
        <w:t xml:space="preserve"> </w:t>
      </w:r>
      <w:r/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 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9616" w:type="dxa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520"/>
        <w:gridCol w:w="3544"/>
        <w:gridCol w:w="2552"/>
      </w:tblGrid>
      <w:tr>
        <w:tblPrEx/>
        <w:trPr>
          <w:tblCellSpacing w:w="0" w:type="dxa"/>
          <w:trHeight w:val="5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20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Результаты обучения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Показатели освоенности компетенций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Методы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20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31"/>
              <w:spacing w:before="0" w:beforeAutospacing="0" w:after="0" w:afterAutospacing="0"/>
            </w:pPr>
            <w:r>
              <w:t xml:space="preserve"> </w:t>
            </w:r>
            <w:r>
              <w:rPr>
                <w:color w:val="000000"/>
              </w:rPr>
              <w:t xml:space="preserve">- основы стандартизации, взаимозаменяемости, качества продукции</w:t>
            </w:r>
            <w:r/>
          </w:p>
          <w:p>
            <w:pPr>
              <w:pStyle w:val="830"/>
              <w:spacing w:before="0" w:beforeAutospacing="0" w:after="0" w:afterAutospacing="0"/>
            </w:pPr>
            <w:r>
              <w:rPr>
                <w:color w:val="000000"/>
              </w:rPr>
              <w:t xml:space="preserve">систему допусков и посадок </w:t>
            </w:r>
            <w:r/>
          </w:p>
          <w:p>
            <w:pPr>
              <w:pStyle w:val="830"/>
              <w:spacing w:before="0" w:beforeAutospacing="0" w:after="0" w:afterAutospacing="0"/>
            </w:pPr>
            <w:r>
              <w:rPr>
                <w:color w:val="000000"/>
              </w:rPr>
              <w:t xml:space="preserve">- параметры шероховатости; </w:t>
            </w:r>
            <w:r/>
          </w:p>
          <w:p>
            <w:pPr>
              <w:pStyle w:val="830"/>
              <w:spacing w:before="0" w:beforeAutospacing="0" w:after="0" w:afterAutospacing="0"/>
            </w:pPr>
            <w:r>
              <w:rPr>
                <w:color w:val="000000"/>
              </w:rPr>
              <w:t xml:space="preserve">- основные сведения о сопряжениях в машиностроении;</w:t>
            </w:r>
            <w:r/>
          </w:p>
          <w:p>
            <w:pPr>
              <w:pStyle w:val="830"/>
              <w:spacing w:before="0" w:beforeAutospacing="0" w:after="0" w:afterAutospacing="0"/>
            </w:pPr>
            <w:r>
              <w:rPr>
                <w:color w:val="000000"/>
              </w:rPr>
              <w:t xml:space="preserve">- устройство, назначение, правила настройки контрольно-измерительных инструментов;</w:t>
            </w:r>
            <w:r/>
          </w:p>
          <w:p>
            <w:pPr>
              <w:pStyle w:val="830"/>
              <w:spacing w:before="0" w:beforeAutospacing="0" w:after="0" w:afterAutospacing="0"/>
            </w:pPr>
            <w:r>
              <w:rPr>
                <w:color w:val="000000"/>
              </w:rPr>
              <w:t xml:space="preserve">- методы и средства контроля обработанных поверхностей</w:t>
            </w:r>
            <w:r/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4" w:type="dxa"/>
            <w:vAlign w:val="center"/>
            <w:textDirection w:val="lrTb"/>
            <w:noWrap w:val="false"/>
          </w:tcPr>
          <w:p>
            <w:pPr>
              <w:pStyle w:val="831"/>
              <w:jc w:val="both"/>
              <w:spacing w:before="0" w:beforeAutospacing="0" w:after="0" w:afterAutospacing="0"/>
            </w:pPr>
            <w:r>
              <w:rPr>
                <w:color w:val="000000"/>
              </w:rPr>
              <w:t xml:space="preserve">- правильность выбора и применения способов решения профессиональных задач;</w:t>
            </w:r>
            <w:r/>
          </w:p>
          <w:p>
            <w:pPr>
              <w:pStyle w:val="830"/>
              <w:jc w:val="both"/>
              <w:spacing w:before="0" w:beforeAutospacing="0" w:after="0" w:afterAutospacing="0"/>
            </w:pPr>
            <w:r>
              <w:rPr>
                <w:color w:val="000000"/>
              </w:rPr>
              <w:t xml:space="preserve">- грамотное составление плана практическо</w:t>
            </w:r>
            <w:r>
              <w:rPr>
                <w:color w:val="000000"/>
              </w:rPr>
              <w:t xml:space="preserve">й  работы;</w:t>
            </w:r>
            <w:r/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зачета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20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Умеет: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31"/>
              <w:spacing w:before="0" w:beforeAutospacing="0" w:after="0" w:afterAutospacing="0"/>
            </w:pPr>
            <w:r>
              <w:rPr>
                <w:color w:val="000000"/>
              </w:rPr>
              <w:t xml:space="preserve">- анализировать чертежи, техническую документацию;</w:t>
            </w:r>
            <w:r/>
          </w:p>
          <w:p>
            <w:pPr>
              <w:pStyle w:val="830"/>
              <w:spacing w:before="0" w:beforeAutospacing="0" w:after="0" w:afterAutospacing="0"/>
            </w:pPr>
            <w:r>
              <w:rPr>
                <w:color w:val="000000"/>
              </w:rPr>
              <w:t xml:space="preserve">- определять предельные отклонения размеров;</w:t>
            </w:r>
            <w:r/>
          </w:p>
          <w:p>
            <w:pPr>
              <w:pStyle w:val="830"/>
              <w:spacing w:before="0" w:beforeAutospacing="0" w:after="0" w:afterAutospacing="0"/>
            </w:pPr>
            <w:r>
              <w:rPr>
                <w:color w:val="000000"/>
              </w:rPr>
              <w:t xml:space="preserve">- выполнять расчеты величин предельных размеров и допуска по данным чертежа и определять годность заданных размеров;</w:t>
            </w:r>
            <w:r/>
          </w:p>
          <w:p>
            <w:pPr>
              <w:pStyle w:val="830"/>
              <w:spacing w:before="0" w:beforeAutospacing="0" w:after="0" w:afterAutospacing="0"/>
            </w:pPr>
            <w:r>
              <w:rPr>
                <w:color w:val="000000"/>
              </w:rPr>
              <w:t xml:space="preserve">- применять контрольно-измерительные приборы и инструменты</w:t>
            </w:r>
            <w:r/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4" w:type="dxa"/>
            <w:vAlign w:val="center"/>
            <w:textDirection w:val="lrTb"/>
            <w:noWrap w:val="false"/>
          </w:tcPr>
          <w:p>
            <w:pPr>
              <w:pStyle w:val="831"/>
              <w:jc w:val="both"/>
              <w:spacing w:before="0" w:beforeAutospacing="0" w:after="0" w:afterAutospacing="0"/>
            </w:pPr>
            <w:r>
              <w:t xml:space="preserve"> </w:t>
            </w:r>
            <w:r>
              <w:rPr>
                <w:color w:val="000000"/>
              </w:rPr>
              <w:t xml:space="preserve">- соответствие нормативам и последовательности выполнения тех или иных видов р</w:t>
            </w:r>
            <w:r>
              <w:rPr>
                <w:color w:val="000000"/>
              </w:rPr>
              <w:t xml:space="preserve">абот;</w:t>
            </w:r>
            <w:r/>
          </w:p>
          <w:p>
            <w:pPr>
              <w:pStyle w:val="830"/>
              <w:jc w:val="both"/>
              <w:spacing w:before="0" w:beforeAutospacing="0" w:after="0" w:afterAutospacing="0"/>
            </w:pPr>
            <w:r>
              <w:rPr>
                <w:color w:val="000000"/>
              </w:rPr>
              <w:t xml:space="preserve">- демонстрация правильной последовательности выполнения действий во время выполнения практических работ;</w:t>
            </w:r>
            <w:r/>
          </w:p>
          <w:p>
            <w:pPr>
              <w:pStyle w:val="830"/>
              <w:jc w:val="both"/>
              <w:spacing w:before="0" w:beforeAutospacing="0" w:after="0" w:afterAutospacing="0"/>
            </w:pPr>
            <w:r>
              <w:rPr>
                <w:color w:val="000000"/>
              </w:rPr>
              <w:t xml:space="preserve">- организация рабочего места в соответствии с выполняемой работой и требованиями охраны труда</w:t>
            </w:r>
            <w:r/>
          </w:p>
          <w:p>
            <w:pPr>
              <w:pStyle w:val="830"/>
              <w:jc w:val="both"/>
              <w:spacing w:before="0" w:beforeAutospacing="0" w:after="0" w:afterAutospacing="0"/>
            </w:pPr>
            <w:r>
              <w:rPr>
                <w:color w:val="000000"/>
              </w:rPr>
              <w:t xml:space="preserve">-  выбор оборудования, материалов, инструментов в соответствии с требованиями техники безопасности и видами работ</w:t>
            </w:r>
            <w:r/>
          </w:p>
          <w:p>
            <w:pPr>
              <w:pStyle w:val="830"/>
              <w:jc w:val="both"/>
              <w:spacing w:before="0" w:beforeAutospacing="0" w:after="0" w:afterAutospacing="0"/>
            </w:pPr>
            <w:r>
              <w:rPr>
                <w:color w:val="000000"/>
              </w:rPr>
              <w:t xml:space="preserve">- своевременное представление выполненных заданий</w:t>
            </w:r>
            <w:r/>
          </w:p>
          <w:p>
            <w:pPr>
              <w:pStyle w:val="830"/>
              <w:jc w:val="both"/>
              <w:spacing w:before="0" w:beforeAutospacing="0" w:after="0" w:afterAutospacing="0"/>
            </w:pPr>
            <w:r>
              <w:rPr>
                <w:color w:val="000000"/>
              </w:rPr>
              <w:t xml:space="preserve">-  самоконтроль и самоанализ при выполнении самостоятельных  работ</w:t>
            </w:r>
            <w:r/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пертное наблюдение выполнения практических работ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зачета </w:t>
            </w:r>
            <w:bookmarkStart w:id="3" w:name="_GoBack"/>
            <w:r/>
            <w:bookmarkEnd w:id="3"/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63"/>
    <w:link w:val="654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63"/>
    <w:link w:val="655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63"/>
    <w:link w:val="656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63"/>
    <w:link w:val="657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63"/>
    <w:link w:val="658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63"/>
    <w:link w:val="659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63"/>
    <w:link w:val="66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63"/>
    <w:link w:val="661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63"/>
    <w:link w:val="662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63"/>
    <w:link w:val="677"/>
    <w:uiPriority w:val="10"/>
    <w:rPr>
      <w:sz w:val="48"/>
      <w:szCs w:val="48"/>
    </w:rPr>
  </w:style>
  <w:style w:type="character" w:styleId="37">
    <w:name w:val="Subtitle Char"/>
    <w:basedOn w:val="663"/>
    <w:link w:val="679"/>
    <w:uiPriority w:val="11"/>
    <w:rPr>
      <w:sz w:val="24"/>
      <w:szCs w:val="24"/>
    </w:rPr>
  </w:style>
  <w:style w:type="character" w:styleId="39">
    <w:name w:val="Quote Char"/>
    <w:link w:val="681"/>
    <w:uiPriority w:val="29"/>
    <w:rPr>
      <w:i/>
    </w:rPr>
  </w:style>
  <w:style w:type="character" w:styleId="41">
    <w:name w:val="Intense Quote Char"/>
    <w:link w:val="683"/>
    <w:uiPriority w:val="30"/>
    <w:rPr>
      <w:i/>
    </w:rPr>
  </w:style>
  <w:style w:type="character" w:styleId="179">
    <w:name w:val="Endnote Text Char"/>
    <w:link w:val="816"/>
    <w:uiPriority w:val="99"/>
    <w:rPr>
      <w:sz w:val="20"/>
    </w:rPr>
  </w:style>
  <w:style w:type="paragraph" w:styleId="653" w:default="1">
    <w:name w:val="Normal"/>
    <w:qFormat/>
  </w:style>
  <w:style w:type="paragraph" w:styleId="654">
    <w:name w:val="Heading 1"/>
    <w:basedOn w:val="653"/>
    <w:next w:val="653"/>
    <w:link w:val="666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55">
    <w:name w:val="Heading 2"/>
    <w:basedOn w:val="653"/>
    <w:next w:val="653"/>
    <w:link w:val="667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56">
    <w:name w:val="Heading 3"/>
    <w:basedOn w:val="653"/>
    <w:next w:val="653"/>
    <w:link w:val="668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57">
    <w:name w:val="Heading 4"/>
    <w:basedOn w:val="653"/>
    <w:next w:val="653"/>
    <w:link w:val="669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58">
    <w:name w:val="Heading 5"/>
    <w:basedOn w:val="653"/>
    <w:next w:val="653"/>
    <w:link w:val="670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59">
    <w:name w:val="Heading 6"/>
    <w:basedOn w:val="653"/>
    <w:next w:val="653"/>
    <w:link w:val="671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60">
    <w:name w:val="Heading 7"/>
    <w:basedOn w:val="653"/>
    <w:next w:val="653"/>
    <w:link w:val="672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61">
    <w:name w:val="Heading 8"/>
    <w:basedOn w:val="653"/>
    <w:next w:val="653"/>
    <w:link w:val="673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62">
    <w:name w:val="Heading 9"/>
    <w:basedOn w:val="653"/>
    <w:next w:val="653"/>
    <w:link w:val="674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3" w:default="1">
    <w:name w:val="Default Paragraph Font"/>
    <w:uiPriority w:val="1"/>
    <w:semiHidden/>
    <w:unhideWhenUsed/>
  </w:style>
  <w:style w:type="table" w:styleId="66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5" w:default="1">
    <w:name w:val="No List"/>
    <w:uiPriority w:val="99"/>
    <w:semiHidden/>
    <w:unhideWhenUsed/>
  </w:style>
  <w:style w:type="character" w:styleId="666" w:customStyle="1">
    <w:name w:val="Заголовок 1 Знак"/>
    <w:basedOn w:val="663"/>
    <w:link w:val="654"/>
    <w:uiPriority w:val="9"/>
    <w:rPr>
      <w:rFonts w:ascii="Arial" w:hAnsi="Arial" w:eastAsia="Arial" w:cs="Arial"/>
      <w:sz w:val="40"/>
      <w:szCs w:val="40"/>
    </w:rPr>
  </w:style>
  <w:style w:type="character" w:styleId="667" w:customStyle="1">
    <w:name w:val="Заголовок 2 Знак"/>
    <w:basedOn w:val="663"/>
    <w:link w:val="655"/>
    <w:uiPriority w:val="9"/>
    <w:rPr>
      <w:rFonts w:ascii="Arial" w:hAnsi="Arial" w:eastAsia="Arial" w:cs="Arial"/>
      <w:sz w:val="34"/>
    </w:rPr>
  </w:style>
  <w:style w:type="character" w:styleId="668" w:customStyle="1">
    <w:name w:val="Заголовок 3 Знак"/>
    <w:basedOn w:val="663"/>
    <w:link w:val="656"/>
    <w:uiPriority w:val="9"/>
    <w:rPr>
      <w:rFonts w:ascii="Arial" w:hAnsi="Arial" w:eastAsia="Arial" w:cs="Arial"/>
      <w:sz w:val="30"/>
      <w:szCs w:val="30"/>
    </w:rPr>
  </w:style>
  <w:style w:type="character" w:styleId="669" w:customStyle="1">
    <w:name w:val="Заголовок 4 Знак"/>
    <w:basedOn w:val="663"/>
    <w:link w:val="657"/>
    <w:uiPriority w:val="9"/>
    <w:rPr>
      <w:rFonts w:ascii="Arial" w:hAnsi="Arial" w:eastAsia="Arial" w:cs="Arial"/>
      <w:b/>
      <w:bCs/>
      <w:sz w:val="26"/>
      <w:szCs w:val="26"/>
    </w:rPr>
  </w:style>
  <w:style w:type="character" w:styleId="670" w:customStyle="1">
    <w:name w:val="Заголовок 5 Знак"/>
    <w:basedOn w:val="663"/>
    <w:link w:val="658"/>
    <w:uiPriority w:val="9"/>
    <w:rPr>
      <w:rFonts w:ascii="Arial" w:hAnsi="Arial" w:eastAsia="Arial" w:cs="Arial"/>
      <w:b/>
      <w:bCs/>
      <w:sz w:val="24"/>
      <w:szCs w:val="24"/>
    </w:rPr>
  </w:style>
  <w:style w:type="character" w:styleId="671" w:customStyle="1">
    <w:name w:val="Заголовок 6 Знак"/>
    <w:basedOn w:val="663"/>
    <w:link w:val="659"/>
    <w:uiPriority w:val="9"/>
    <w:rPr>
      <w:rFonts w:ascii="Arial" w:hAnsi="Arial" w:eastAsia="Arial" w:cs="Arial"/>
      <w:b/>
      <w:bCs/>
      <w:sz w:val="22"/>
      <w:szCs w:val="22"/>
    </w:rPr>
  </w:style>
  <w:style w:type="character" w:styleId="672" w:customStyle="1">
    <w:name w:val="Заголовок 7 Знак"/>
    <w:basedOn w:val="663"/>
    <w:link w:val="66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3" w:customStyle="1">
    <w:name w:val="Заголовок 8 Знак"/>
    <w:basedOn w:val="663"/>
    <w:link w:val="661"/>
    <w:uiPriority w:val="9"/>
    <w:rPr>
      <w:rFonts w:ascii="Arial" w:hAnsi="Arial" w:eastAsia="Arial" w:cs="Arial"/>
      <w:i/>
      <w:iCs/>
      <w:sz w:val="22"/>
      <w:szCs w:val="22"/>
    </w:rPr>
  </w:style>
  <w:style w:type="character" w:styleId="674" w:customStyle="1">
    <w:name w:val="Заголовок 9 Знак"/>
    <w:basedOn w:val="663"/>
    <w:link w:val="662"/>
    <w:uiPriority w:val="9"/>
    <w:rPr>
      <w:rFonts w:ascii="Arial" w:hAnsi="Arial" w:eastAsia="Arial" w:cs="Arial"/>
      <w:i/>
      <w:iCs/>
      <w:sz w:val="21"/>
      <w:szCs w:val="21"/>
    </w:rPr>
  </w:style>
  <w:style w:type="paragraph" w:styleId="675">
    <w:name w:val="List Paragraph"/>
    <w:basedOn w:val="653"/>
    <w:uiPriority w:val="34"/>
    <w:qFormat/>
    <w:pPr>
      <w:contextualSpacing/>
      <w:ind w:left="720"/>
    </w:pPr>
  </w:style>
  <w:style w:type="paragraph" w:styleId="676">
    <w:name w:val="No Spacing"/>
    <w:uiPriority w:val="1"/>
    <w:qFormat/>
    <w:pPr>
      <w:spacing w:after="0" w:line="240" w:lineRule="auto"/>
    </w:pPr>
  </w:style>
  <w:style w:type="paragraph" w:styleId="677">
    <w:name w:val="Title"/>
    <w:basedOn w:val="653"/>
    <w:next w:val="653"/>
    <w:link w:val="678"/>
    <w:uiPriority w:val="10"/>
    <w:qFormat/>
    <w:pPr>
      <w:contextualSpacing/>
      <w:spacing w:before="300"/>
    </w:pPr>
    <w:rPr>
      <w:sz w:val="48"/>
      <w:szCs w:val="48"/>
    </w:rPr>
  </w:style>
  <w:style w:type="character" w:styleId="678" w:customStyle="1">
    <w:name w:val="Название Знак"/>
    <w:basedOn w:val="663"/>
    <w:link w:val="677"/>
    <w:uiPriority w:val="10"/>
    <w:rPr>
      <w:sz w:val="48"/>
      <w:szCs w:val="48"/>
    </w:rPr>
  </w:style>
  <w:style w:type="paragraph" w:styleId="679">
    <w:name w:val="Subtitle"/>
    <w:basedOn w:val="653"/>
    <w:next w:val="653"/>
    <w:link w:val="680"/>
    <w:uiPriority w:val="11"/>
    <w:qFormat/>
    <w:pPr>
      <w:spacing w:before="200"/>
    </w:pPr>
    <w:rPr>
      <w:sz w:val="24"/>
      <w:szCs w:val="24"/>
    </w:rPr>
  </w:style>
  <w:style w:type="character" w:styleId="680" w:customStyle="1">
    <w:name w:val="Подзаголовок Знак"/>
    <w:basedOn w:val="663"/>
    <w:link w:val="679"/>
    <w:uiPriority w:val="11"/>
    <w:rPr>
      <w:sz w:val="24"/>
      <w:szCs w:val="24"/>
    </w:rPr>
  </w:style>
  <w:style w:type="paragraph" w:styleId="681">
    <w:name w:val="Quote"/>
    <w:basedOn w:val="653"/>
    <w:next w:val="653"/>
    <w:link w:val="682"/>
    <w:uiPriority w:val="29"/>
    <w:qFormat/>
    <w:pPr>
      <w:ind w:left="720" w:right="720"/>
    </w:pPr>
    <w:rPr>
      <w:i/>
    </w:rPr>
  </w:style>
  <w:style w:type="character" w:styleId="682" w:customStyle="1">
    <w:name w:val="Цитата 2 Знак"/>
    <w:link w:val="681"/>
    <w:uiPriority w:val="29"/>
    <w:rPr>
      <w:i/>
    </w:rPr>
  </w:style>
  <w:style w:type="paragraph" w:styleId="683">
    <w:name w:val="Intense Quote"/>
    <w:basedOn w:val="653"/>
    <w:next w:val="653"/>
    <w:link w:val="68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4" w:customStyle="1">
    <w:name w:val="Выделенная цитата Знак"/>
    <w:link w:val="683"/>
    <w:uiPriority w:val="30"/>
    <w:rPr>
      <w:i/>
    </w:rPr>
  </w:style>
  <w:style w:type="character" w:styleId="685" w:customStyle="1">
    <w:name w:val="Header Char"/>
    <w:basedOn w:val="663"/>
    <w:uiPriority w:val="99"/>
  </w:style>
  <w:style w:type="character" w:styleId="686" w:customStyle="1">
    <w:name w:val="Footer Char"/>
    <w:basedOn w:val="663"/>
    <w:uiPriority w:val="99"/>
  </w:style>
  <w:style w:type="paragraph" w:styleId="687">
    <w:name w:val="Caption"/>
    <w:basedOn w:val="653"/>
    <w:next w:val="653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688" w:customStyle="1">
    <w:name w:val="Caption Char"/>
    <w:uiPriority w:val="99"/>
  </w:style>
  <w:style w:type="table" w:styleId="689">
    <w:name w:val="Table Grid"/>
    <w:basedOn w:val="66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 w:customStyle="1">
    <w:name w:val="Table Grid Light"/>
    <w:basedOn w:val="664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 w:customStyle="1">
    <w:name w:val="Plain Table 1"/>
    <w:basedOn w:val="664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 w:customStyle="1">
    <w:name w:val="Plain Table 2"/>
    <w:basedOn w:val="66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 w:customStyle="1">
    <w:name w:val="Plain Table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 w:customStyle="1">
    <w:name w:val="Plain Table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 w:customStyle="1">
    <w:name w:val="Plain Table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 w:customStyle="1">
    <w:name w:val="Grid Table 1 Light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 w:customStyle="1">
    <w:name w:val="Grid Table 1 Light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 w:customStyle="1">
    <w:name w:val="Grid Table 1 Light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 w:customStyle="1">
    <w:name w:val="Grid Table 1 Light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 w:customStyle="1">
    <w:name w:val="Grid Table 1 Light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 w:customStyle="1">
    <w:name w:val="Grid Table 1 Light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 w:customStyle="1">
    <w:name w:val="Grid Table 1 Light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 w:customStyle="1">
    <w:name w:val="Grid Table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 w:customStyle="1">
    <w:name w:val="Grid Table 2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 w:customStyle="1">
    <w:name w:val="Grid Table 2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 w:customStyle="1">
    <w:name w:val="Grid Table 2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 w:customStyle="1">
    <w:name w:val="Grid Table 2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 w:customStyle="1">
    <w:name w:val="Grid Table 2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 w:customStyle="1">
    <w:name w:val="Grid Table 2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 w:customStyle="1">
    <w:name w:val="Grid Table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 w:customStyle="1">
    <w:name w:val="Grid Table 3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 w:customStyle="1">
    <w:name w:val="Grid Table 3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 w:customStyle="1">
    <w:name w:val="Grid Table 3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 w:customStyle="1">
    <w:name w:val="Grid Table 3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 w:customStyle="1">
    <w:name w:val="Grid Table 3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 w:customStyle="1">
    <w:name w:val="Grid Table 3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 w:customStyle="1">
    <w:name w:val="Grid Table 4"/>
    <w:basedOn w:val="6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8" w:customStyle="1">
    <w:name w:val="Grid Table 4 - Accent 1"/>
    <w:basedOn w:val="6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19" w:customStyle="1">
    <w:name w:val="Grid Table 4 - Accent 2"/>
    <w:basedOn w:val="6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20" w:customStyle="1">
    <w:name w:val="Grid Table 4 - Accent 3"/>
    <w:basedOn w:val="6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21" w:customStyle="1">
    <w:name w:val="Grid Table 4 - Accent 4"/>
    <w:basedOn w:val="6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22" w:customStyle="1">
    <w:name w:val="Grid Table 4 - Accent 5"/>
    <w:basedOn w:val="6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23" w:customStyle="1">
    <w:name w:val="Grid Table 4 - Accent 6"/>
    <w:basedOn w:val="6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24" w:customStyle="1">
    <w:name w:val="Grid Table 5 Dark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25" w:customStyle="1">
    <w:name w:val="Grid Table 5 Dark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26" w:customStyle="1">
    <w:name w:val="Grid Table 5 Dark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27" w:customStyle="1">
    <w:name w:val="Grid Table 5 Dark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28" w:customStyle="1">
    <w:name w:val="Grid Table 5 Dark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29" w:customStyle="1">
    <w:name w:val="Grid Table 5 Dark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30" w:customStyle="1">
    <w:name w:val="Grid Table 5 Dark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31" w:customStyle="1">
    <w:name w:val="Grid Table 6 Colorful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2" w:customStyle="1">
    <w:name w:val="Grid Table 6 Colorful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33" w:customStyle="1">
    <w:name w:val="Grid Table 6 Colorful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34" w:customStyle="1">
    <w:name w:val="Grid Table 6 Colorful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35" w:customStyle="1">
    <w:name w:val="Grid Table 6 Colorful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36" w:customStyle="1">
    <w:name w:val="Grid Table 6 Colorful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37" w:customStyle="1">
    <w:name w:val="Grid Table 6 Colorful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38" w:customStyle="1">
    <w:name w:val="Grid Table 7 Colorful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39" w:customStyle="1">
    <w:name w:val="Grid Table 7 Colorful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0" w:customStyle="1">
    <w:name w:val="Grid Table 7 Colorful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1" w:customStyle="1">
    <w:name w:val="Grid Table 7 Colorful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2" w:customStyle="1">
    <w:name w:val="Grid Table 7 Colorful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3" w:customStyle="1">
    <w:name w:val="Grid Table 7 Colorful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4" w:customStyle="1">
    <w:name w:val="Grid Table 7 Colorful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5" w:customStyle="1">
    <w:name w:val="List Table 1 Light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List Table 1 Light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List Table 1 Light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List Table 1 Light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List Table 1 Light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List Table 1 Light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List Table 1 Light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List Table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53" w:customStyle="1">
    <w:name w:val="List Table 2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54" w:customStyle="1">
    <w:name w:val="List Table 2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55" w:customStyle="1">
    <w:name w:val="List Table 2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56" w:customStyle="1">
    <w:name w:val="List Table 2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57" w:customStyle="1">
    <w:name w:val="List Table 2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58" w:customStyle="1">
    <w:name w:val="List Table 2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59" w:customStyle="1">
    <w:name w:val="List Table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List Table 3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 w:customStyle="1">
    <w:name w:val="List Table 3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List Table 3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List Table 3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List Table 3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List Table 3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List Table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List Table 4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List Table 4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List Table 4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List Table 4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List Table 4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List Table 4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List Table 5 Dark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4" w:customStyle="1">
    <w:name w:val="List Table 5 Dark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5" w:customStyle="1">
    <w:name w:val="List Table 5 Dark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6" w:customStyle="1">
    <w:name w:val="List Table 5 Dark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7" w:customStyle="1">
    <w:name w:val="List Table 5 Dark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8" w:customStyle="1">
    <w:name w:val="List Table 5 Dark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9" w:customStyle="1">
    <w:name w:val="List Table 5 Dark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0" w:customStyle="1">
    <w:name w:val="List Table 6 Colorful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81" w:customStyle="1">
    <w:name w:val="List Table 6 Colorful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782" w:customStyle="1">
    <w:name w:val="List Table 6 Colorful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783" w:customStyle="1">
    <w:name w:val="List Table 6 Colorful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784" w:customStyle="1">
    <w:name w:val="List Table 6 Colorful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785" w:customStyle="1">
    <w:name w:val="List Table 6 Colorful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786" w:customStyle="1">
    <w:name w:val="List Table 6 Colorful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787" w:customStyle="1">
    <w:name w:val="List Table 7 Colorful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8" w:customStyle="1">
    <w:name w:val="List Table 7 Colorful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9" w:customStyle="1">
    <w:name w:val="List Table 7 Colorful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0" w:customStyle="1">
    <w:name w:val="List Table 7 Colorful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1" w:customStyle="1">
    <w:name w:val="List Table 7 Colorful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2" w:customStyle="1">
    <w:name w:val="List Table 7 Colorful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3" w:customStyle="1">
    <w:name w:val="List Table 7 Colorful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4" w:customStyle="1">
    <w:name w:val="Lined - Accent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795" w:customStyle="1">
    <w:name w:val="Lined - Accent 1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796" w:customStyle="1">
    <w:name w:val="Lined - Accent 2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797" w:customStyle="1">
    <w:name w:val="Lined - Accent 3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798" w:customStyle="1">
    <w:name w:val="Lined - Accent 4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799" w:customStyle="1">
    <w:name w:val="Lined - Accent 5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00" w:customStyle="1">
    <w:name w:val="Lined - Accent 6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01" w:customStyle="1">
    <w:name w:val="Bordered &amp; Lined - Accent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02" w:customStyle="1">
    <w:name w:val="Bordered &amp; Lined - Accent 1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03" w:customStyle="1">
    <w:name w:val="Bordered &amp; Lined - Accent 2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04" w:customStyle="1">
    <w:name w:val="Bordered &amp; Lined - Accent 3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05" w:customStyle="1">
    <w:name w:val="Bordered &amp; Lined - Accent 4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06" w:customStyle="1">
    <w:name w:val="Bordered &amp; Lined - Accent 5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07" w:customStyle="1">
    <w:name w:val="Bordered &amp; Lined - Accent 6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08" w:customStyle="1">
    <w:name w:val="Bordered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09" w:customStyle="1">
    <w:name w:val="Bordered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10" w:customStyle="1">
    <w:name w:val="Bordered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11" w:customStyle="1">
    <w:name w:val="Bordered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12" w:customStyle="1">
    <w:name w:val="Bordered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13" w:customStyle="1">
    <w:name w:val="Bordered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14" w:customStyle="1">
    <w:name w:val="Bordered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15" w:customStyle="1">
    <w:name w:val="Footnote Text Char"/>
    <w:uiPriority w:val="99"/>
    <w:rPr>
      <w:sz w:val="18"/>
    </w:rPr>
  </w:style>
  <w:style w:type="paragraph" w:styleId="816">
    <w:name w:val="endnote text"/>
    <w:basedOn w:val="653"/>
    <w:link w:val="817"/>
    <w:uiPriority w:val="99"/>
    <w:semiHidden/>
    <w:unhideWhenUsed/>
    <w:pPr>
      <w:spacing w:after="0" w:line="240" w:lineRule="auto"/>
    </w:pPr>
    <w:rPr>
      <w:sz w:val="20"/>
    </w:rPr>
  </w:style>
  <w:style w:type="character" w:styleId="817" w:customStyle="1">
    <w:name w:val="Текст концевой сноски Знак"/>
    <w:link w:val="816"/>
    <w:uiPriority w:val="99"/>
    <w:rPr>
      <w:sz w:val="20"/>
    </w:rPr>
  </w:style>
  <w:style w:type="character" w:styleId="818">
    <w:name w:val="endnote reference"/>
    <w:basedOn w:val="663"/>
    <w:uiPriority w:val="99"/>
    <w:semiHidden/>
    <w:unhideWhenUsed/>
    <w:rPr>
      <w:vertAlign w:val="superscript"/>
    </w:rPr>
  </w:style>
  <w:style w:type="paragraph" w:styleId="819">
    <w:name w:val="toc 1"/>
    <w:basedOn w:val="653"/>
    <w:next w:val="653"/>
    <w:uiPriority w:val="39"/>
    <w:unhideWhenUsed/>
    <w:pPr>
      <w:spacing w:after="57"/>
    </w:pPr>
  </w:style>
  <w:style w:type="paragraph" w:styleId="820">
    <w:name w:val="toc 2"/>
    <w:basedOn w:val="653"/>
    <w:next w:val="653"/>
    <w:uiPriority w:val="39"/>
    <w:unhideWhenUsed/>
    <w:pPr>
      <w:ind w:left="283"/>
      <w:spacing w:after="57"/>
    </w:pPr>
  </w:style>
  <w:style w:type="paragraph" w:styleId="821">
    <w:name w:val="toc 3"/>
    <w:basedOn w:val="653"/>
    <w:next w:val="653"/>
    <w:uiPriority w:val="39"/>
    <w:unhideWhenUsed/>
    <w:pPr>
      <w:ind w:left="567"/>
      <w:spacing w:after="57"/>
    </w:pPr>
  </w:style>
  <w:style w:type="paragraph" w:styleId="822">
    <w:name w:val="toc 4"/>
    <w:basedOn w:val="653"/>
    <w:next w:val="653"/>
    <w:uiPriority w:val="39"/>
    <w:unhideWhenUsed/>
    <w:pPr>
      <w:ind w:left="850"/>
      <w:spacing w:after="57"/>
    </w:pPr>
  </w:style>
  <w:style w:type="paragraph" w:styleId="823">
    <w:name w:val="toc 5"/>
    <w:basedOn w:val="653"/>
    <w:next w:val="653"/>
    <w:uiPriority w:val="39"/>
    <w:unhideWhenUsed/>
    <w:pPr>
      <w:ind w:left="1134"/>
      <w:spacing w:after="57"/>
    </w:pPr>
  </w:style>
  <w:style w:type="paragraph" w:styleId="824">
    <w:name w:val="toc 6"/>
    <w:basedOn w:val="653"/>
    <w:next w:val="653"/>
    <w:uiPriority w:val="39"/>
    <w:unhideWhenUsed/>
    <w:pPr>
      <w:ind w:left="1417"/>
      <w:spacing w:after="57"/>
    </w:pPr>
  </w:style>
  <w:style w:type="paragraph" w:styleId="825">
    <w:name w:val="toc 7"/>
    <w:basedOn w:val="653"/>
    <w:next w:val="653"/>
    <w:uiPriority w:val="39"/>
    <w:unhideWhenUsed/>
    <w:pPr>
      <w:ind w:left="1701"/>
      <w:spacing w:after="57"/>
    </w:pPr>
  </w:style>
  <w:style w:type="paragraph" w:styleId="826">
    <w:name w:val="toc 8"/>
    <w:basedOn w:val="653"/>
    <w:next w:val="653"/>
    <w:uiPriority w:val="39"/>
    <w:unhideWhenUsed/>
    <w:pPr>
      <w:ind w:left="1984"/>
      <w:spacing w:after="57"/>
    </w:pPr>
  </w:style>
  <w:style w:type="paragraph" w:styleId="827">
    <w:name w:val="toc 9"/>
    <w:basedOn w:val="653"/>
    <w:next w:val="653"/>
    <w:uiPriority w:val="39"/>
    <w:unhideWhenUsed/>
    <w:pPr>
      <w:ind w:left="2268"/>
      <w:spacing w:after="57"/>
    </w:pPr>
  </w:style>
  <w:style w:type="paragraph" w:styleId="828">
    <w:name w:val="TOC Heading"/>
    <w:uiPriority w:val="39"/>
    <w:unhideWhenUsed/>
  </w:style>
  <w:style w:type="paragraph" w:styleId="829">
    <w:name w:val="table of figures"/>
    <w:basedOn w:val="653"/>
    <w:next w:val="653"/>
    <w:uiPriority w:val="99"/>
    <w:unhideWhenUsed/>
    <w:pPr>
      <w:spacing w:after="0"/>
    </w:pPr>
  </w:style>
  <w:style w:type="paragraph" w:styleId="830">
    <w:name w:val="Normal (Web)"/>
    <w:basedOn w:val="653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1" w:customStyle="1">
    <w:name w:val="docdata"/>
    <w:basedOn w:val="65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32">
    <w:name w:val="Hyperlink"/>
    <w:basedOn w:val="663"/>
    <w:uiPriority w:val="99"/>
    <w:semiHidden/>
    <w:unhideWhenUsed/>
    <w:rPr>
      <w:color w:val="0000ff"/>
      <w:u w:val="single"/>
    </w:rPr>
  </w:style>
  <w:style w:type="character" w:styleId="833">
    <w:name w:val="footnote reference"/>
    <w:basedOn w:val="663"/>
    <w:uiPriority w:val="99"/>
    <w:semiHidden/>
    <w:unhideWhenUsed/>
  </w:style>
  <w:style w:type="paragraph" w:styleId="834">
    <w:name w:val="footnote text"/>
    <w:basedOn w:val="653"/>
    <w:link w:val="835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35" w:customStyle="1">
    <w:name w:val="Текст сноски Знак"/>
    <w:basedOn w:val="663"/>
    <w:link w:val="834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36" w:customStyle="1">
    <w:name w:val="1692"/>
    <w:basedOn w:val="663"/>
  </w:style>
  <w:style w:type="paragraph" w:styleId="837">
    <w:name w:val="Header"/>
    <w:basedOn w:val="653"/>
    <w:link w:val="838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38" w:customStyle="1">
    <w:name w:val="Верхний колонтитул Знак"/>
    <w:basedOn w:val="663"/>
    <w:link w:val="837"/>
    <w:uiPriority w:val="99"/>
  </w:style>
  <w:style w:type="paragraph" w:styleId="839">
    <w:name w:val="Footer"/>
    <w:basedOn w:val="653"/>
    <w:link w:val="840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40" w:customStyle="1">
    <w:name w:val="Нижний колонтитул Знак"/>
    <w:basedOn w:val="663"/>
    <w:link w:val="839"/>
    <w:uiPriority w:val="99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Юлия Кисаубаева</cp:lastModifiedBy>
  <cp:revision>17</cp:revision>
  <dcterms:created xsi:type="dcterms:W3CDTF">2025-05-21T04:21:00Z</dcterms:created>
  <dcterms:modified xsi:type="dcterms:W3CDTF">2025-07-03T03:38:35Z</dcterms:modified>
</cp:coreProperties>
</file>